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sz w:val="56"/>
          <w:szCs w:val="56"/>
        </w:rPr>
      </w:pPr>
      <w:r>
        <w:rPr/>
        <w:drawing>
          <wp:inline distT="0" distB="0" distL="0" distR="0">
            <wp:extent cx="1837055" cy="1133475"/>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1837055" cy="1133475"/>
                    </a:xfrm>
                    <a:prstGeom prst="rect">
                      <a:avLst/>
                    </a:prstGeom>
                  </pic:spPr>
                </pic:pic>
              </a:graphicData>
            </a:graphic>
          </wp:inline>
        </w:drawing>
      </w:r>
      <w:r>
        <w:rPr/>
        <w:t xml:space="preserve">    </w:t>
      </w:r>
      <w:r>
        <w:rPr>
          <w:b/>
          <w:bCs/>
          <w:sz w:val="56"/>
          <w:szCs w:val="56"/>
        </w:rPr>
        <w:t>ISC JURY NOTICE</w:t>
      </w:r>
    </w:p>
    <w:p>
      <w:pPr>
        <w:pStyle w:val="Normal"/>
        <w:rPr>
          <w:b/>
          <w:b/>
          <w:bCs/>
          <w:sz w:val="56"/>
          <w:szCs w:val="56"/>
        </w:rPr>
      </w:pPr>
      <w:r>
        <w:rPr>
          <w:b/>
          <w:bCs/>
          <w:sz w:val="56"/>
          <w:szCs w:val="56"/>
        </w:rPr>
      </w:r>
    </w:p>
    <w:tbl>
      <w:tblPr>
        <w:tblStyle w:val="Grilledutableau"/>
        <w:tblW w:w="9062" w:type="dxa"/>
        <w:jc w:val="left"/>
        <w:tblInd w:w="-5" w:type="dxa"/>
        <w:tblCellMar>
          <w:top w:w="0" w:type="dxa"/>
          <w:left w:w="103" w:type="dxa"/>
          <w:bottom w:w="0" w:type="dxa"/>
          <w:right w:w="108" w:type="dxa"/>
        </w:tblCellMar>
        <w:tblLook w:firstRow="1" w:noVBand="1" w:lastRow="0" w:firstColumn="1" w:lastColumn="0" w:noHBand="0" w:val="04a0"/>
      </w:tblPr>
      <w:tblGrid>
        <w:gridCol w:w="9062"/>
      </w:tblGrid>
      <w:tr>
        <w:trPr/>
        <w:tc>
          <w:tcPr>
            <w:tcW w:w="9062" w:type="dxa"/>
            <w:tcBorders/>
            <w:shd w:fill="auto" w:val="clear"/>
            <w:tcMar>
              <w:left w:w="103" w:type="dxa"/>
            </w:tcMar>
          </w:tcPr>
          <w:p>
            <w:pPr>
              <w:pStyle w:val="Normal"/>
              <w:jc w:val="center"/>
              <w:rPr>
                <w:b/>
                <w:b/>
                <w:bCs/>
                <w:sz w:val="32"/>
                <w:szCs w:val="32"/>
                <w:lang w:val="en-US"/>
              </w:rPr>
            </w:pPr>
            <w:r>
              <w:rPr>
                <w:b/>
                <w:bCs/>
                <w:sz w:val="32"/>
                <w:szCs w:val="32"/>
                <w:lang w:val="en-US"/>
              </w:rPr>
              <w:t>4th FAI World Wingsuit Flying Championships</w:t>
            </w:r>
          </w:p>
          <w:p>
            <w:pPr>
              <w:pStyle w:val="Normal"/>
              <w:jc w:val="center"/>
              <w:rPr>
                <w:b/>
                <w:b/>
                <w:bCs/>
                <w:sz w:val="32"/>
                <w:szCs w:val="32"/>
                <w:lang w:val="en-US"/>
              </w:rPr>
            </w:pPr>
            <w:r>
              <w:rPr>
                <w:b/>
                <w:bCs/>
                <w:sz w:val="32"/>
                <w:szCs w:val="32"/>
                <w:lang w:val="en-US"/>
              </w:rPr>
              <w:t>20th FAI World Canopy Formation Championships</w:t>
            </w:r>
          </w:p>
          <w:p>
            <w:pPr>
              <w:pStyle w:val="Normal"/>
              <w:jc w:val="center"/>
              <w:rPr>
                <w:b/>
                <w:b/>
                <w:bCs/>
                <w:sz w:val="32"/>
                <w:szCs w:val="32"/>
                <w:lang w:val="en-US"/>
              </w:rPr>
            </w:pPr>
            <w:r>
              <w:rPr>
                <w:b/>
                <w:bCs/>
                <w:sz w:val="32"/>
                <w:szCs w:val="32"/>
                <w:lang w:val="en-US"/>
              </w:rPr>
              <w:t>9th FAI World Canopy Piloting Championships</w:t>
            </w:r>
          </w:p>
          <w:p>
            <w:pPr>
              <w:pStyle w:val="Normal"/>
              <w:jc w:val="center"/>
              <w:rPr>
                <w:b/>
                <w:b/>
                <w:bCs/>
                <w:sz w:val="32"/>
                <w:szCs w:val="32"/>
                <w:lang w:val="en-US"/>
              </w:rPr>
            </w:pPr>
            <w:r>
              <w:rPr>
                <w:b/>
                <w:bCs/>
                <w:sz w:val="32"/>
                <w:szCs w:val="32"/>
                <w:lang w:val="en-US"/>
              </w:rPr>
              <w:t>3rd World Canopy Piloting Freestyle Championships</w:t>
            </w:r>
          </w:p>
          <w:p>
            <w:pPr>
              <w:pStyle w:val="Normal"/>
              <w:jc w:val="center"/>
              <w:rPr>
                <w:sz w:val="36"/>
                <w:szCs w:val="36"/>
                <w:lang w:val="en-US"/>
              </w:rPr>
            </w:pPr>
            <w:r>
              <w:rPr>
                <w:b/>
                <w:bCs/>
                <w:sz w:val="32"/>
                <w:szCs w:val="32"/>
                <w:lang w:val="en-US"/>
              </w:rPr>
              <w:t>Skydive Arizona - Eloy, USA</w:t>
            </w:r>
          </w:p>
        </w:tc>
      </w:tr>
      <w:tr>
        <w:trPr/>
        <w:tc>
          <w:tcPr>
            <w:tcW w:w="9062" w:type="dxa"/>
            <w:tcBorders/>
            <w:shd w:fill="auto" w:val="clear"/>
            <w:tcMar>
              <w:left w:w="103" w:type="dxa"/>
            </w:tcMar>
          </w:tcPr>
          <w:p>
            <w:pPr>
              <w:pStyle w:val="Normal"/>
              <w:rPr>
                <w:sz w:val="28"/>
                <w:szCs w:val="28"/>
                <w:lang w:val="en-US"/>
              </w:rPr>
            </w:pPr>
            <w:r>
              <w:rPr>
                <w:sz w:val="28"/>
                <w:szCs w:val="28"/>
                <w:lang w:val="en-US"/>
              </w:rPr>
              <w:t>ISC Jury Meeting N° 4</w:t>
            </w:r>
          </w:p>
        </w:tc>
      </w:tr>
      <w:tr>
        <w:trPr/>
        <w:tc>
          <w:tcPr>
            <w:tcW w:w="9062" w:type="dxa"/>
            <w:tcBorders/>
            <w:shd w:fill="auto" w:val="clear"/>
            <w:tcMar>
              <w:left w:w="103" w:type="dxa"/>
            </w:tcMar>
          </w:tcPr>
          <w:p>
            <w:pPr>
              <w:pStyle w:val="Normal"/>
              <w:rPr>
                <w:sz w:val="28"/>
                <w:szCs w:val="28"/>
                <w:lang w:val="en-US"/>
              </w:rPr>
            </w:pPr>
            <w:r>
              <w:rPr>
                <w:sz w:val="28"/>
                <w:szCs w:val="28"/>
                <w:lang w:val="en-US"/>
              </w:rPr>
              <w:t>Time &amp; Date:13/10/22 - 17h30</w:t>
            </w:r>
          </w:p>
        </w:tc>
      </w:tr>
      <w:tr>
        <w:trPr/>
        <w:tc>
          <w:tcPr>
            <w:tcW w:w="9062" w:type="dxa"/>
            <w:tcBorders/>
            <w:shd w:fill="auto" w:val="clear"/>
            <w:tcMar>
              <w:left w:w="103" w:type="dxa"/>
            </w:tcMar>
          </w:tcPr>
          <w:p>
            <w:pPr>
              <w:pStyle w:val="Normal"/>
              <w:rPr>
                <w:sz w:val="28"/>
                <w:szCs w:val="28"/>
                <w:lang w:val="en-US"/>
              </w:rPr>
            </w:pPr>
            <w:r>
              <w:rPr>
                <w:sz w:val="28"/>
                <w:szCs w:val="28"/>
                <w:lang w:val="en-US"/>
              </w:rPr>
              <w:t>Details:</w:t>
            </w:r>
          </w:p>
          <w:p>
            <w:pPr>
              <w:pStyle w:val="Normal"/>
              <w:rPr>
                <w:sz w:val="28"/>
                <w:szCs w:val="28"/>
                <w:lang w:val="en-US"/>
              </w:rPr>
            </w:pPr>
            <w:r>
              <w:rPr>
                <w:sz w:val="28"/>
                <w:szCs w:val="28"/>
                <w:lang w:val="en-US"/>
              </w:rPr>
              <w:t>The protest was received by the MD at 16h25 and forwarded to Jury at 16h30. The Jury made its way to the Sawtooth drop zone.</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 xml:space="preserve">The protest followed a refusal by the MD and CJ to grant a rejump considering that that SC5 5.1.1. should be applied rather than CR 4.10.3. as the incident was related to a packing error and not a malfunction. </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The Jury called the MD and CJ to hear their explanations and to show the video evidence they had been given by the team. They confirmed the reason quoted in the protest for not allowing the rejump.</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 xml:space="preserve">The Jury then called the videographer accompanied by the team manager to explain the reason for their protest. </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 xml:space="preserve">The videographer explained that the toggle was caught in a knot that he managed to clear, he then found that the toggle was still caught by something that he could not see. He could not control the canopy with both toggles, could not safely perform his task of filming his team nor land the canopy safely. He consequently decided to cutaway for safety reasons.  </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 xml:space="preserve">The video evidence provided by the team clearly shows the initial malfunction and how it was solved but there is no clear evidence to show that the second problem which he indicated occurred after freeing the toggle nor that the canopy could not be controlled safely. </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There is no evidence that the team completed a formation at any time during the jump because from the only video evidence available, no completed formation is shown. The jump was aborted by the videographer as he was unable to film the team because of the incident and ultimately chose to cutaway.</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tc>
      </w:tr>
      <w:tr>
        <w:trPr/>
        <w:tc>
          <w:tcPr>
            <w:tcW w:w="9062" w:type="dxa"/>
            <w:tcBorders/>
            <w:shd w:fill="auto" w:val="clear"/>
            <w:tcMar>
              <w:left w:w="103" w:type="dxa"/>
            </w:tcMar>
          </w:tcPr>
          <w:p>
            <w:pPr>
              <w:pStyle w:val="Normal"/>
              <w:rPr>
                <w:sz w:val="28"/>
                <w:szCs w:val="28"/>
                <w:lang w:val="en-US"/>
              </w:rPr>
            </w:pPr>
            <w:r>
              <w:rPr>
                <w:sz w:val="28"/>
                <w:szCs w:val="28"/>
                <w:lang w:val="en-US"/>
              </w:rPr>
              <w:t>Decision:</w:t>
            </w:r>
          </w:p>
          <w:p>
            <w:pPr>
              <w:pStyle w:val="Normal"/>
              <w:rPr>
                <w:sz w:val="28"/>
                <w:szCs w:val="28"/>
                <w:lang w:val="en-US"/>
              </w:rPr>
            </w:pPr>
            <w:r>
              <w:rPr>
                <w:sz w:val="28"/>
                <w:szCs w:val="28"/>
                <w:lang w:val="en-US"/>
              </w:rPr>
              <w:t xml:space="preserve">Considering that one rejump may be granted for equipment malfunction or for any other safety reason, </w:t>
            </w:r>
          </w:p>
          <w:p>
            <w:pPr>
              <w:pStyle w:val="Normal"/>
              <w:rPr>
                <w:sz w:val="28"/>
                <w:szCs w:val="28"/>
                <w:lang w:val="en-US"/>
              </w:rPr>
            </w:pPr>
            <w:r>
              <w:rPr>
                <w:sz w:val="28"/>
                <w:szCs w:val="28"/>
                <w:lang w:val="en-US"/>
              </w:rPr>
              <w:t xml:space="preserve">that a malfunction was visible on video (the reason for which the rules do not require), </w:t>
            </w:r>
          </w:p>
          <w:p>
            <w:pPr>
              <w:pStyle w:val="Normal"/>
              <w:rPr>
                <w:sz w:val="28"/>
                <w:szCs w:val="28"/>
                <w:lang w:val="en-US"/>
              </w:rPr>
            </w:pPr>
            <w:r>
              <w:rPr>
                <w:sz w:val="28"/>
                <w:szCs w:val="28"/>
                <w:lang w:val="en-US"/>
              </w:rPr>
              <w:t xml:space="preserve">that the videographer considered his canopy could not be controlled and landed safely, </w:t>
            </w:r>
          </w:p>
          <w:p>
            <w:pPr>
              <w:pStyle w:val="Normal"/>
              <w:rPr>
                <w:sz w:val="28"/>
                <w:szCs w:val="28"/>
                <w:lang w:val="en-US"/>
              </w:rPr>
            </w:pPr>
            <w:r>
              <w:rPr>
                <w:sz w:val="28"/>
                <w:szCs w:val="28"/>
                <w:lang w:val="en-US"/>
              </w:rPr>
              <w:t xml:space="preserve">that intentional abuse of the rules cannot be concluded, </w:t>
            </w:r>
          </w:p>
          <w:p>
            <w:pPr>
              <w:pStyle w:val="Normal"/>
              <w:rPr/>
            </w:pPr>
            <w:r>
              <w:rPr>
                <w:sz w:val="28"/>
                <w:szCs w:val="28"/>
                <w:lang w:val="en-US"/>
              </w:rPr>
              <w:t xml:space="preserve">the protest is accepted, and the team is awarded a rejump. </w:t>
            </w:r>
          </w:p>
          <w:p>
            <w:pPr>
              <w:pStyle w:val="Normal"/>
              <w:rPr/>
            </w:pPr>
            <w:r>
              <w:rPr>
                <w:sz w:val="28"/>
                <w:szCs w:val="28"/>
                <w:lang w:val="en-US"/>
              </w:rPr>
              <w:t>The decision was by majority.</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 xml:space="preserve">The protest fee will be returned. </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tc>
      </w:tr>
      <w:tr>
        <w:trPr/>
        <w:tc>
          <w:tcPr>
            <w:tcW w:w="9062" w:type="dxa"/>
            <w:tcBorders/>
            <w:shd w:fill="auto" w:val="clear"/>
            <w:tcMar>
              <w:left w:w="103" w:type="dxa"/>
            </w:tcMar>
          </w:tcPr>
          <w:p>
            <w:pPr>
              <w:pStyle w:val="Normal"/>
              <w:rPr>
                <w:lang w:val="en-US"/>
              </w:rPr>
            </w:pPr>
            <w:r>
              <w:rPr>
                <w:lang w:val="en-US"/>
              </w:rPr>
              <w:t>Signature Jury President: Doris Merz</w:t>
            </w:r>
          </w:p>
          <w:p>
            <w:pPr>
              <w:pStyle w:val="Normal"/>
              <w:rPr>
                <w:lang w:val="en-US"/>
              </w:rPr>
            </w:pPr>
            <w:r>
              <w:rPr>
                <w:lang w:val="en-US"/>
              </w:rPr>
            </w:r>
          </w:p>
          <w:p>
            <w:pPr>
              <w:pStyle w:val="Normal"/>
              <w:rPr>
                <w:lang w:val="en-US"/>
              </w:rPr>
            </w:pPr>
            <w:r>
              <w:rPr>
                <w:lang w:val="en-US"/>
              </w:rPr>
              <w:t>Date:     14/10/22                                        Time: 07h05</w:t>
            </w:r>
          </w:p>
          <w:p>
            <w:pPr>
              <w:pStyle w:val="Normal"/>
              <w:rPr>
                <w:lang w:val="en-US"/>
              </w:rPr>
            </w:pPr>
            <w:r>
              <w:rPr>
                <w:lang w:val="en-US"/>
              </w:rPr>
            </w:r>
          </w:p>
        </w:tc>
      </w:tr>
    </w:tbl>
    <w:p>
      <w:pPr>
        <w:pStyle w:val="Normal"/>
        <w:rPr>
          <w:sz w:val="22"/>
          <w:szCs w:val="22"/>
          <w:lang w:val="en-US"/>
        </w:rPr>
      </w:pPr>
      <w:r>
        <w:rPr>
          <w:sz w:val="22"/>
          <w:szCs w:val="22"/>
          <w:lang w:val="en-US"/>
        </w:rPr>
      </w:r>
    </w:p>
    <w:p>
      <w:pPr>
        <w:pStyle w:val="Normal"/>
        <w:rPr>
          <w:sz w:val="22"/>
          <w:szCs w:val="22"/>
          <w:lang w:val="en-US"/>
        </w:rPr>
      </w:pPr>
      <w:r>
        <w:rPr>
          <w:sz w:val="22"/>
          <w:szCs w:val="22"/>
          <w:lang w:val="en-US"/>
        </w:rPr>
        <w:t xml:space="preserve">1 Attachment. </w:t>
      </w:r>
    </w:p>
    <w:p>
      <w:pPr>
        <w:pStyle w:val="Normal"/>
        <w:rPr>
          <w:sz w:val="36"/>
          <w:szCs w:val="36"/>
          <w:lang w:val="en-US"/>
        </w:rPr>
      </w:pPr>
      <w:r>
        <w:rPr>
          <w:sz w:val="36"/>
          <w:szCs w:val="36"/>
          <w:lang w:val="en-US"/>
        </w:rPr>
      </w:r>
    </w:p>
    <w:p>
      <w:pPr>
        <w:pStyle w:val="Normal"/>
        <w:rPr/>
      </w:pPr>
      <w:r>
        <w:rPr/>
        <w:drawing>
          <wp:inline distT="0" distB="0" distL="0" distR="0">
            <wp:extent cx="5760720" cy="7663180"/>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3"/>
                    <a:stretch>
                      <a:fillRect/>
                    </a:stretch>
                  </pic:blipFill>
                  <pic:spPr bwMode="auto">
                    <a:xfrm>
                      <a:off x="0" y="0"/>
                      <a:ext cx="5760720" cy="7663180"/>
                    </a:xfrm>
                    <a:prstGeom prst="rect">
                      <a:avLst/>
                    </a:prstGeom>
                  </pic:spPr>
                </pic:pic>
              </a:graphicData>
            </a:graphic>
          </wp:inline>
        </w:drawing>
      </w:r>
    </w:p>
    <w:sectPr>
      <w:type w:val="nextPage"/>
      <w:pgSz w:w="11906" w:h="16838"/>
      <w:pgMar w:left="1417" w:right="1417" w:header="0" w:top="1417" w:footer="0" w:bottom="141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3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fr-F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jc w:val="left"/>
    </w:pPr>
    <w:rPr>
      <w:rFonts w:ascii="Calibri" w:hAnsi="Calibri" w:eastAsia="Calibri" w:cs="" w:asciiTheme="minorHAnsi" w:cstheme="minorBidi" w:eastAsiaTheme="minorHAnsi" w:hAnsiTheme="minorHAnsi"/>
      <w:color w:val="00000A"/>
      <w:sz w:val="24"/>
      <w:szCs w:val="24"/>
      <w:lang w:val="fr-FR" w:eastAsia="en-US" w:bidi="ar-SA"/>
    </w:rPr>
  </w:style>
  <w:style w:type="character" w:styleId="DefaultParagraphFont" w:default="1">
    <w:name w:val="Default Paragraph Font"/>
    <w:uiPriority w:val="1"/>
    <w:semiHidden/>
    <w:unhideWhenUsed/>
    <w:qFormat/>
    <w:rPr/>
  </w:style>
  <w:style w:type="paragraph" w:styleId="Berschrift">
    <w:name w:val="Überschrift"/>
    <w:basedOn w:val="Normal"/>
    <w:next w:val="Textkrper"/>
    <w:qFormat/>
    <w:pPr>
      <w:keepNext/>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39"/>
    <w:rsid w:val="00ac40b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Application>LibreOffice/5.2.6.2$Windows_x86 LibreOffice_project/a3100ed2409ebf1c212f5048fbe377c281438fdc</Application>
  <Pages>3</Pages>
  <Words>412</Words>
  <Characters>1992</Characters>
  <CharactersWithSpaces>2436</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2022-10-14T14:54:00Z</dcterms:created>
  <dc:creator>Gillian RAYNER</dc:creator>
  <dc:description/>
  <dc:language>de-CH</dc:language>
  <cp:lastModifiedBy/>
  <dcterms:modified xsi:type="dcterms:W3CDTF">2022-10-16T02:18:31Z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